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关于加强场外衍生品业务自律管理的通知</w:t>
      </w:r>
    </w:p>
    <w:p>
      <w:pPr>
        <w:keepNext w:val="0"/>
        <w:keepLines w:val="0"/>
        <w:pageBreakBefore w:val="0"/>
        <w:widowControl w:val="0"/>
        <w:suppressLineNumbers w:val="0"/>
        <w:shd w:val="clear" w:fill="FFFFFF"/>
        <w:kinsoku/>
        <w:wordWrap w:val="0"/>
        <w:overflowPunct/>
        <w:topLinePunct w:val="0"/>
        <w:autoSpaceDE/>
        <w:autoSpaceDN/>
        <w:bidi w:val="0"/>
        <w:adjustRightInd/>
        <w:snapToGrid/>
        <w:spacing w:beforeAutospacing="0" w:afterAutospacing="0" w:line="240" w:lineRule="auto"/>
        <w:ind w:left="0" w:leftChars="0" w:right="0" w:rightChars="0" w:firstLine="0" w:firstLineChars="0"/>
        <w:jc w:val="center"/>
        <w:textAlignment w:val="auto"/>
        <w:outlineLvl w:val="9"/>
        <w:rPr>
          <w:rFonts w:hint="eastAsia" w:ascii="仿宋" w:hAnsi="仿宋" w:eastAsia="仿宋" w:cs="仿宋"/>
          <w:b w:val="0"/>
          <w:i w:val="0"/>
          <w:caps w:val="0"/>
          <w:color w:val="000000"/>
          <w:spacing w:val="0"/>
          <w:sz w:val="24"/>
          <w:szCs w:val="24"/>
        </w:rPr>
      </w:pPr>
      <w:r>
        <w:rPr>
          <w:rFonts w:hint="eastAsia" w:ascii="仿宋" w:hAnsi="仿宋" w:eastAsia="仿宋" w:cs="仿宋"/>
          <w:b w:val="0"/>
          <w:i w:val="0"/>
          <w:caps w:val="0"/>
          <w:color w:val="000000"/>
          <w:spacing w:val="0"/>
          <w:kern w:val="0"/>
          <w:sz w:val="24"/>
          <w:szCs w:val="24"/>
          <w:shd w:val="clear" w:fill="FFFFFF"/>
          <w:lang w:val="en-US" w:eastAsia="zh-CN" w:bidi="ar"/>
        </w:rPr>
        <w:t>中证协发〔2017〕123号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各参与场外衍生品交易的证券公司、基金管理公司及其子公司:</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为贯彻落实中国证监会《关于进一步规范证券基金经营机构参与场外衍生品交易的通知》(证监办发〔</w:t>
      </w:r>
      <w:r>
        <w:rPr>
          <w:rFonts w:hint="eastAsia" w:ascii="仿宋" w:hAnsi="仿宋" w:eastAsia="仿宋" w:cs="仿宋"/>
          <w:b w:val="0"/>
          <w:i w:val="0"/>
          <w:caps w:val="0"/>
          <w:color w:val="000000"/>
          <w:spacing w:val="0"/>
          <w:sz w:val="30"/>
          <w:szCs w:val="30"/>
          <w:shd w:val="clear" w:fill="FFFFFF"/>
          <w:lang w:val="en-US"/>
        </w:rPr>
        <w:t>2016</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81</w:t>
      </w:r>
      <w:r>
        <w:rPr>
          <w:rFonts w:hint="eastAsia" w:ascii="仿宋" w:hAnsi="仿宋" w:eastAsia="仿宋" w:cs="仿宋"/>
          <w:b w:val="0"/>
          <w:i w:val="0"/>
          <w:caps w:val="0"/>
          <w:color w:val="000000"/>
          <w:spacing w:val="0"/>
          <w:sz w:val="30"/>
          <w:szCs w:val="30"/>
          <w:shd w:val="clear" w:fill="FFFFFF"/>
        </w:rPr>
        <w:t>号)的相关要求,加强场外衍生品业务自律管理,有效防范和控制风险,现将有关事项通知如下:</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一、完善场外衍生品业务备案及数据报送</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(一)报送主体</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各证券公司、基金管理公司及其子公司(以下简称“证券基金经营机构”)开展场外衍生品交易的,应当按照《场外证券业务备案管理办法》(中证协发〔</w:t>
      </w:r>
      <w:r>
        <w:rPr>
          <w:rFonts w:hint="eastAsia" w:ascii="仿宋" w:hAnsi="仿宋" w:eastAsia="仿宋" w:cs="仿宋"/>
          <w:b w:val="0"/>
          <w:i w:val="0"/>
          <w:caps w:val="0"/>
          <w:color w:val="000000"/>
          <w:spacing w:val="0"/>
          <w:sz w:val="30"/>
          <w:szCs w:val="30"/>
          <w:shd w:val="clear" w:fill="FFFFFF"/>
          <w:lang w:val="en-US"/>
        </w:rPr>
        <w:t>2015</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164</w:t>
      </w:r>
      <w:r>
        <w:rPr>
          <w:rFonts w:hint="eastAsia" w:ascii="仿宋" w:hAnsi="仿宋" w:eastAsia="仿宋" w:cs="仿宋"/>
          <w:b w:val="0"/>
          <w:i w:val="0"/>
          <w:caps w:val="0"/>
          <w:color w:val="000000"/>
          <w:spacing w:val="0"/>
          <w:sz w:val="30"/>
          <w:szCs w:val="30"/>
          <w:shd w:val="clear" w:fill="FFFFFF"/>
        </w:rPr>
        <w:t>号)要求,向我会备案并报送相关数据。报送主体分为备案机构和参与机构,其中备案机构是指经有关监管机构或自律组织的批准、备案或认可的可从事场外衍生品交易的证券基金经营机构,其他机构为参与机构。场外衍生品交易双方至少一方应为备案机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(二)报送业务范围</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证券基金经营机构直接参与或作为产品管理人参与</w:t>
      </w:r>
      <w:r>
        <w:rPr>
          <w:rFonts w:hint="eastAsia" w:ascii="仿宋" w:hAnsi="仿宋" w:eastAsia="仿宋" w:cs="仿宋"/>
          <w:b w:val="0"/>
          <w:i w:val="0"/>
          <w:caps w:val="0"/>
          <w:color w:val="000000"/>
          <w:spacing w:val="0"/>
          <w:sz w:val="30"/>
          <w:szCs w:val="30"/>
          <w:shd w:val="clear" w:fill="FFFFFF"/>
          <w:lang w:val="en-US"/>
        </w:rPr>
        <w:t>SAC</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NAFMII</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ISDA</w:t>
      </w:r>
      <w:r>
        <w:rPr>
          <w:rFonts w:hint="eastAsia" w:ascii="仿宋" w:hAnsi="仿宋" w:eastAsia="仿宋" w:cs="仿宋"/>
          <w:b w:val="0"/>
          <w:i w:val="0"/>
          <w:caps w:val="0"/>
          <w:color w:val="000000"/>
          <w:spacing w:val="0"/>
          <w:sz w:val="30"/>
          <w:szCs w:val="30"/>
          <w:shd w:val="clear" w:fill="FFFFFF"/>
        </w:rPr>
        <w:t>等主协议项下的场外衍生品交易。</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(三)报送路径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证券基金经营机构应将场外衍生品业务相关数据报送至场外证券业务报告系统的场外衍生品报告模块。场外证券业务报告系统登录地址:</w:t>
      </w:r>
      <w:r>
        <w:rPr>
          <w:rFonts w:hint="eastAsia" w:ascii="仿宋" w:hAnsi="仿宋" w:eastAsia="仿宋" w:cs="仿宋"/>
          <w:b w:val="0"/>
          <w:i w:val="0"/>
          <w:caps w:val="0"/>
          <w:color w:val="000000"/>
          <w:spacing w:val="0"/>
          <w:sz w:val="30"/>
          <w:szCs w:val="30"/>
          <w:shd w:val="clear" w:fill="FFFFFF"/>
          <w:lang w:val="en-US"/>
        </w:rPr>
        <w:t>http://rpt.interotc.com</w:t>
      </w:r>
      <w:r>
        <w:rPr>
          <w:rFonts w:hint="eastAsia" w:ascii="仿宋" w:hAnsi="仿宋" w:eastAsia="仿宋" w:cs="仿宋"/>
          <w:b w:val="0"/>
          <w:i w:val="0"/>
          <w:caps w:val="0"/>
          <w:color w:val="000000"/>
          <w:spacing w:val="0"/>
          <w:sz w:val="30"/>
          <w:szCs w:val="30"/>
          <w:shd w:val="clear" w:fill="FFFFFF"/>
        </w:rPr>
        <w:t>。未注册账户的证券基金经营机构应填写相关信息注册账户。</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(四)报送内容</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持续报告:备案机构及参与机构应于签订主协议、补充协议或交易确认书</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个工作日内报送相关交易信息。</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定期报告:备案机构应于每月</w:t>
      </w:r>
      <w:r>
        <w:rPr>
          <w:rFonts w:hint="eastAsia" w:ascii="仿宋" w:hAnsi="仿宋" w:eastAsia="仿宋" w:cs="仿宋"/>
          <w:b w:val="0"/>
          <w:i w:val="0"/>
          <w:caps w:val="0"/>
          <w:color w:val="000000"/>
          <w:spacing w:val="0"/>
          <w:sz w:val="30"/>
          <w:szCs w:val="30"/>
          <w:shd w:val="clear" w:fill="FFFFFF"/>
          <w:lang w:val="en-US"/>
        </w:rPr>
        <w:t>10</w:t>
      </w:r>
      <w:r>
        <w:rPr>
          <w:rFonts w:hint="eastAsia" w:ascii="仿宋" w:hAnsi="仿宋" w:eastAsia="仿宋" w:cs="仿宋"/>
          <w:b w:val="0"/>
          <w:i w:val="0"/>
          <w:caps w:val="0"/>
          <w:color w:val="000000"/>
          <w:spacing w:val="0"/>
          <w:sz w:val="30"/>
          <w:szCs w:val="30"/>
          <w:shd w:val="clear" w:fill="FFFFFF"/>
        </w:rPr>
        <w:t>日前报送上一月场外衍生品业务开展规模等总体信息,应于每个季度结束后</w:t>
      </w:r>
      <w:r>
        <w:rPr>
          <w:rFonts w:hint="eastAsia" w:ascii="仿宋" w:hAnsi="仿宋" w:eastAsia="仿宋" w:cs="仿宋"/>
          <w:b w:val="0"/>
          <w:i w:val="0"/>
          <w:caps w:val="0"/>
          <w:color w:val="000000"/>
          <w:spacing w:val="0"/>
          <w:sz w:val="30"/>
          <w:szCs w:val="30"/>
          <w:shd w:val="clear" w:fill="FFFFFF"/>
          <w:lang w:val="en-US"/>
        </w:rPr>
        <w:t>15</w:t>
      </w:r>
      <w:r>
        <w:rPr>
          <w:rFonts w:hint="eastAsia" w:ascii="仿宋" w:hAnsi="仿宋" w:eastAsia="仿宋" w:cs="仿宋"/>
          <w:b w:val="0"/>
          <w:i w:val="0"/>
          <w:caps w:val="0"/>
          <w:color w:val="000000"/>
          <w:spacing w:val="0"/>
          <w:sz w:val="30"/>
          <w:szCs w:val="30"/>
          <w:shd w:val="clear" w:fill="FFFFFF"/>
        </w:rPr>
        <w:t>个工作日内报送公司合规部门的审查意见以及业务开展合规情况说明,应于每年</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30</w:t>
      </w:r>
      <w:r>
        <w:rPr>
          <w:rFonts w:hint="eastAsia" w:ascii="仿宋" w:hAnsi="仿宋" w:eastAsia="仿宋" w:cs="仿宋"/>
          <w:b w:val="0"/>
          <w:i w:val="0"/>
          <w:caps w:val="0"/>
          <w:color w:val="000000"/>
          <w:spacing w:val="0"/>
          <w:sz w:val="30"/>
          <w:szCs w:val="30"/>
          <w:shd w:val="clear" w:fill="FFFFFF"/>
        </w:rPr>
        <w:t>日前报送上一年场外证券业务年度报告。每季度的定期报告应包括对场外衍生品业务的交易对手方、交易结构、保证金比例及使用、产品关联性等合规方面内容。年度报告应包括场外衍生品交易业务模式、业务规模、交易对手方、挂钩标的、对冲持仓、履约保障、盈亏、风险管控、合规管理等总体情况。</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重大事项报告:场外衍生品交易合约存续期间发生违约事件、提前终止事件、重大业务风险、重大业务损失、影响业务持续开展等情况的,备案机构应于事件发生后</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个工作日内报送重大事项报告,说明重大事项的起因、处理措施和影响结果。</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各证券基金经营机构应于本通知下发日起三个月内完成历史场外衍生品交易的报送工作。</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二、加强场外衍生品业务合规管理和风险控制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(一)证券基金经营机构应保证报送数据真实性、准确性、完整性并对其负责。</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(二)各证券基金经营机构应依法、合规参与场外衍生品交易,备案机构应充分了解交易对手方参与场外衍生品交易的真实目的,不得有以下行为: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为交易对手方提供融资或者变相融资服务;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收取明显超过履约保障需要的保证金;</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依照交易对手方指令使用保证金;</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为非标资产规避监管行为提供服务或便利;</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5.</w:t>
      </w:r>
      <w:r>
        <w:rPr>
          <w:rFonts w:hint="eastAsia" w:ascii="仿宋" w:hAnsi="仿宋" w:eastAsia="仿宋" w:cs="仿宋"/>
          <w:b w:val="0"/>
          <w:i w:val="0"/>
          <w:caps w:val="0"/>
          <w:color w:val="000000"/>
          <w:spacing w:val="0"/>
          <w:sz w:val="30"/>
          <w:szCs w:val="30"/>
          <w:shd w:val="clear" w:fill="FFFFFF"/>
        </w:rPr>
        <w:t>中国证监会禁止的其他行为。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(三)备案机构应建立健全场外衍生品交易的合规管理、内部控制和风险管理机制。主协议、补充协议、履约保障协议、交易确认书等相关合同和重要文件应当经公司合规审核,并留档备查。</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三、强化场外衍生品业务自律管理措施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(一)证券基金经营机构参与场外衍生品交易未按要求报送数据或涉嫌违反自律规则的,我会将视情节轻重约谈业务主管或主要负责人,并要求限期整改。证券基金经营机构按期整改后应向我会提交整改报告。</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(二)证券基金经营机构参与场外衍生品交易涉嫌违反自律规则的,我会将视情节轻重按照《中国证券业协会自律管理措施和纪律处分实施办法》采取相关自律惩戒措施。</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(三)证券基金经营机构参与场外衍生品交易涉嫌违反法律法规、监管规定或存在重大风险隐患的,我会将移交证券基金经营机构住所地证监局依法查处。</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(四)我会根据《场外证券业务备案管理办法》(中证协发〔</w:t>
      </w:r>
      <w:r>
        <w:rPr>
          <w:rFonts w:hint="eastAsia" w:ascii="仿宋" w:hAnsi="仿宋" w:eastAsia="仿宋" w:cs="仿宋"/>
          <w:b w:val="0"/>
          <w:i w:val="0"/>
          <w:caps w:val="0"/>
          <w:color w:val="000000"/>
          <w:spacing w:val="0"/>
          <w:sz w:val="30"/>
          <w:szCs w:val="30"/>
          <w:shd w:val="clear" w:fill="FFFFFF"/>
          <w:lang w:val="en-US"/>
        </w:rPr>
        <w:t>2015</w:t>
      </w:r>
      <w:r>
        <w:rPr>
          <w:rFonts w:hint="eastAsia" w:ascii="仿宋" w:hAnsi="仿宋" w:eastAsia="仿宋" w:cs="仿宋"/>
          <w:b w:val="0"/>
          <w:i w:val="0"/>
          <w:caps w:val="0"/>
          <w:color w:val="000000"/>
          <w:spacing w:val="0"/>
          <w:sz w:val="30"/>
          <w:szCs w:val="30"/>
          <w:shd w:val="clear" w:fill="FFFFFF"/>
        </w:rPr>
        <w:t>〕</w:t>
      </w:r>
      <w:r>
        <w:rPr>
          <w:rFonts w:hint="eastAsia" w:ascii="仿宋" w:hAnsi="仿宋" w:eastAsia="仿宋" w:cs="仿宋"/>
          <w:b w:val="0"/>
          <w:i w:val="0"/>
          <w:caps w:val="0"/>
          <w:color w:val="000000"/>
          <w:spacing w:val="0"/>
          <w:sz w:val="30"/>
          <w:szCs w:val="30"/>
          <w:shd w:val="clear" w:fill="FFFFFF"/>
          <w:lang w:val="en-US"/>
        </w:rPr>
        <w:t>164</w:t>
      </w:r>
      <w:r>
        <w:rPr>
          <w:rFonts w:hint="eastAsia" w:ascii="仿宋" w:hAnsi="仿宋" w:eastAsia="仿宋" w:cs="仿宋"/>
          <w:b w:val="0"/>
          <w:i w:val="0"/>
          <w:caps w:val="0"/>
          <w:color w:val="000000"/>
          <w:spacing w:val="0"/>
          <w:sz w:val="30"/>
          <w:szCs w:val="30"/>
          <w:shd w:val="clear" w:fill="FFFFFF"/>
        </w:rPr>
        <w:t>号)建立场外衍生品业务黑名单制度,将严重违规的证券基金经营机构及其相关人员列入黑名单。黑名单在协会网站公布并按规定记入诚信系统。列入黑名单期间不受理相关机构的备案,相关机构不得新开展场外衍生品业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四、其他场外证券业务</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证券基金经营机构参与其他场外证券业务的,参照本通知要求,按照场外证券业务备案相关规定做好备案及数据报送工作,并加强场外证券业务的合规管理和风险控制。</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五、联系人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(一)备案相关问题联系人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场外衍生品业务:金银花,电话:</w:t>
      </w:r>
      <w:r>
        <w:rPr>
          <w:rFonts w:hint="eastAsia" w:ascii="仿宋" w:hAnsi="仿宋" w:eastAsia="仿宋" w:cs="仿宋"/>
          <w:b w:val="0"/>
          <w:i w:val="0"/>
          <w:caps w:val="0"/>
          <w:color w:val="000000"/>
          <w:spacing w:val="0"/>
          <w:sz w:val="30"/>
          <w:szCs w:val="30"/>
          <w:shd w:val="clear" w:fill="FFFFFF"/>
          <w:lang w:val="en-US"/>
        </w:rPr>
        <w:t>010-66575997</w:t>
      </w:r>
      <w:r>
        <w:rPr>
          <w:rFonts w:hint="eastAsia" w:ascii="仿宋" w:hAnsi="仿宋" w:eastAsia="仿宋" w:cs="仿宋"/>
          <w:b w:val="0"/>
          <w:i w:val="0"/>
          <w:caps w:val="0"/>
          <w:color w:val="000000"/>
          <w:spacing w:val="0"/>
          <w:sz w:val="30"/>
          <w:szCs w:val="30"/>
          <w:shd w:val="clear" w:fill="FFFFFF"/>
        </w:rPr>
        <w:t>,邮箱:</w:t>
      </w:r>
      <w:r>
        <w:rPr>
          <w:rFonts w:hint="eastAsia" w:ascii="仿宋" w:hAnsi="仿宋" w:eastAsia="仿宋" w:cs="仿宋"/>
          <w:b w:val="0"/>
          <w:i w:val="0"/>
          <w:caps w:val="0"/>
          <w:color w:val="000000"/>
          <w:spacing w:val="0"/>
          <w:sz w:val="30"/>
          <w:szCs w:val="30"/>
          <w:shd w:val="clear" w:fill="FFFFFF"/>
          <w:lang w:val="en-US"/>
        </w:rPr>
        <w:t>jinyh@sac.net.cn</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(二)数据报送相关问题联系人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1.</w:t>
      </w:r>
      <w:r>
        <w:rPr>
          <w:rFonts w:hint="eastAsia" w:ascii="仿宋" w:hAnsi="仿宋" w:eastAsia="仿宋" w:cs="仿宋"/>
          <w:b w:val="0"/>
          <w:i w:val="0"/>
          <w:caps w:val="0"/>
          <w:color w:val="000000"/>
          <w:spacing w:val="0"/>
          <w:sz w:val="30"/>
          <w:szCs w:val="30"/>
          <w:shd w:val="clear" w:fill="FFFFFF"/>
        </w:rPr>
        <w:t>场外衍生品业务:梁景美,电话:</w:t>
      </w:r>
      <w:r>
        <w:rPr>
          <w:rFonts w:hint="eastAsia" w:ascii="仿宋" w:hAnsi="仿宋" w:eastAsia="仿宋" w:cs="仿宋"/>
          <w:b w:val="0"/>
          <w:i w:val="0"/>
          <w:caps w:val="0"/>
          <w:color w:val="000000"/>
          <w:spacing w:val="0"/>
          <w:sz w:val="30"/>
          <w:szCs w:val="30"/>
          <w:shd w:val="clear" w:fill="FFFFFF"/>
          <w:lang w:val="en-US"/>
        </w:rPr>
        <w:t>010-83897845</w:t>
      </w:r>
      <w:r>
        <w:rPr>
          <w:rFonts w:hint="eastAsia" w:ascii="仿宋" w:hAnsi="仿宋" w:eastAsia="仿宋" w:cs="仿宋"/>
          <w:b w:val="0"/>
          <w:i w:val="0"/>
          <w:caps w:val="0"/>
          <w:color w:val="000000"/>
          <w:spacing w:val="0"/>
          <w:sz w:val="30"/>
          <w:szCs w:val="30"/>
          <w:shd w:val="clear" w:fill="FFFFFF"/>
        </w:rPr>
        <w:t>,邮箱:</w:t>
      </w:r>
      <w:r>
        <w:rPr>
          <w:rFonts w:hint="eastAsia" w:ascii="仿宋" w:hAnsi="仿宋" w:eastAsia="仿宋" w:cs="仿宋"/>
          <w:b w:val="0"/>
          <w:i w:val="0"/>
          <w:caps w:val="0"/>
          <w:color w:val="000000"/>
          <w:spacing w:val="0"/>
          <w:sz w:val="30"/>
          <w:szCs w:val="30"/>
          <w:shd w:val="clear" w:fill="FFFFFF"/>
          <w:lang w:val="en-US"/>
        </w:rPr>
        <w:t>liangjm@sac.net.cn</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2.</w:t>
      </w:r>
      <w:r>
        <w:rPr>
          <w:rFonts w:hint="eastAsia" w:ascii="仿宋" w:hAnsi="仿宋" w:eastAsia="仿宋" w:cs="仿宋"/>
          <w:b w:val="0"/>
          <w:i w:val="0"/>
          <w:caps w:val="0"/>
          <w:color w:val="000000"/>
          <w:spacing w:val="0"/>
          <w:sz w:val="30"/>
          <w:szCs w:val="30"/>
          <w:shd w:val="clear" w:fill="FFFFFF"/>
        </w:rPr>
        <w:t>非公开发行公司债券:赵文雯,电话:</w:t>
      </w:r>
      <w:r>
        <w:rPr>
          <w:rFonts w:hint="eastAsia" w:ascii="仿宋" w:hAnsi="仿宋" w:eastAsia="仿宋" w:cs="仿宋"/>
          <w:b w:val="0"/>
          <w:i w:val="0"/>
          <w:caps w:val="0"/>
          <w:color w:val="000000"/>
          <w:spacing w:val="0"/>
          <w:sz w:val="30"/>
          <w:szCs w:val="30"/>
          <w:shd w:val="clear" w:fill="FFFFFF"/>
          <w:lang w:val="en-US"/>
        </w:rPr>
        <w:t>010-83897932</w:t>
      </w:r>
      <w:r>
        <w:rPr>
          <w:rFonts w:hint="eastAsia" w:ascii="仿宋" w:hAnsi="仿宋" w:eastAsia="仿宋" w:cs="仿宋"/>
          <w:b w:val="0"/>
          <w:i w:val="0"/>
          <w:caps w:val="0"/>
          <w:color w:val="000000"/>
          <w:spacing w:val="0"/>
          <w:sz w:val="30"/>
          <w:szCs w:val="30"/>
          <w:shd w:val="clear" w:fill="FFFFFF"/>
        </w:rPr>
        <w:t>,邮箱:</w:t>
      </w:r>
      <w:r>
        <w:rPr>
          <w:rFonts w:hint="eastAsia" w:ascii="仿宋" w:hAnsi="仿宋" w:eastAsia="仿宋" w:cs="仿宋"/>
          <w:b w:val="0"/>
          <w:i w:val="0"/>
          <w:caps w:val="0"/>
          <w:color w:val="000000"/>
          <w:spacing w:val="0"/>
          <w:sz w:val="30"/>
          <w:szCs w:val="30"/>
          <w:shd w:val="clear" w:fill="FFFFFF"/>
          <w:lang w:val="en-US"/>
        </w:rPr>
        <w:t>zhaoww@sac.net.cn</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3.</w:t>
      </w:r>
      <w:r>
        <w:rPr>
          <w:rFonts w:hint="eastAsia" w:ascii="仿宋" w:hAnsi="仿宋" w:eastAsia="仿宋" w:cs="仿宋"/>
          <w:b w:val="0"/>
          <w:i w:val="0"/>
          <w:caps w:val="0"/>
          <w:color w:val="000000"/>
          <w:spacing w:val="0"/>
          <w:sz w:val="30"/>
          <w:szCs w:val="30"/>
          <w:shd w:val="clear" w:fill="FFFFFF"/>
        </w:rPr>
        <w:t>收益凭证:李雅琪,电话:</w:t>
      </w:r>
      <w:r>
        <w:rPr>
          <w:rFonts w:hint="eastAsia" w:ascii="仿宋" w:hAnsi="仿宋" w:eastAsia="仿宋" w:cs="仿宋"/>
          <w:b w:val="0"/>
          <w:i w:val="0"/>
          <w:caps w:val="0"/>
          <w:color w:val="000000"/>
          <w:spacing w:val="0"/>
          <w:sz w:val="30"/>
          <w:szCs w:val="30"/>
          <w:shd w:val="clear" w:fill="FFFFFF"/>
          <w:lang w:val="en-US"/>
        </w:rPr>
        <w:t>010-83897925</w:t>
      </w:r>
      <w:r>
        <w:rPr>
          <w:rFonts w:hint="eastAsia" w:ascii="仿宋" w:hAnsi="仿宋" w:eastAsia="仿宋" w:cs="仿宋"/>
          <w:b w:val="0"/>
          <w:i w:val="0"/>
          <w:caps w:val="0"/>
          <w:color w:val="000000"/>
          <w:spacing w:val="0"/>
          <w:sz w:val="30"/>
          <w:szCs w:val="30"/>
          <w:shd w:val="clear" w:fill="FFFFFF"/>
        </w:rPr>
        <w:t>,邮箱:</w:t>
      </w:r>
      <w:r>
        <w:rPr>
          <w:rFonts w:hint="eastAsia" w:ascii="仿宋" w:hAnsi="仿宋" w:eastAsia="仿宋" w:cs="仿宋"/>
          <w:b w:val="0"/>
          <w:i w:val="0"/>
          <w:caps w:val="0"/>
          <w:color w:val="000000"/>
          <w:spacing w:val="0"/>
          <w:sz w:val="30"/>
          <w:szCs w:val="30"/>
          <w:shd w:val="clear" w:fill="FFFFFF"/>
          <w:lang w:val="en-US"/>
        </w:rPr>
        <w:t>liyq@sac.net.cn</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w:t>
      </w:r>
      <w:r>
        <w:rPr>
          <w:rFonts w:hint="eastAsia" w:ascii="仿宋" w:hAnsi="仿宋" w:eastAsia="仿宋" w:cs="仿宋"/>
          <w:b w:val="0"/>
          <w:i w:val="0"/>
          <w:caps w:val="0"/>
          <w:color w:val="000000"/>
          <w:spacing w:val="0"/>
          <w:sz w:val="30"/>
          <w:szCs w:val="30"/>
          <w:shd w:val="clear" w:fill="FFFFFF"/>
          <w:lang w:val="en-US"/>
        </w:rPr>
        <w:t>4.</w:t>
      </w:r>
      <w:r>
        <w:rPr>
          <w:rFonts w:hint="eastAsia" w:ascii="仿宋" w:hAnsi="仿宋" w:eastAsia="仿宋" w:cs="仿宋"/>
          <w:b w:val="0"/>
          <w:i w:val="0"/>
          <w:caps w:val="0"/>
          <w:color w:val="000000"/>
          <w:spacing w:val="0"/>
          <w:sz w:val="30"/>
          <w:szCs w:val="30"/>
          <w:shd w:val="clear" w:fill="FFFFFF"/>
        </w:rPr>
        <w:t>场外证券销售业务及证券公司登记、托管和结算:赵智松,电话:</w:t>
      </w:r>
      <w:r>
        <w:rPr>
          <w:rFonts w:hint="eastAsia" w:ascii="仿宋" w:hAnsi="仿宋" w:eastAsia="仿宋" w:cs="仿宋"/>
          <w:b w:val="0"/>
          <w:i w:val="0"/>
          <w:caps w:val="0"/>
          <w:color w:val="000000"/>
          <w:spacing w:val="0"/>
          <w:sz w:val="30"/>
          <w:szCs w:val="30"/>
          <w:shd w:val="clear" w:fill="FFFFFF"/>
          <w:lang w:val="en-US"/>
        </w:rPr>
        <w:t>010-83897840</w:t>
      </w:r>
      <w:r>
        <w:rPr>
          <w:rFonts w:hint="eastAsia" w:ascii="仿宋" w:hAnsi="仿宋" w:eastAsia="仿宋" w:cs="仿宋"/>
          <w:b w:val="0"/>
          <w:i w:val="0"/>
          <w:caps w:val="0"/>
          <w:color w:val="000000"/>
          <w:spacing w:val="0"/>
          <w:sz w:val="30"/>
          <w:szCs w:val="30"/>
          <w:shd w:val="clear" w:fill="FFFFFF"/>
        </w:rPr>
        <w:t>,邮箱:</w:t>
      </w:r>
      <w:r>
        <w:rPr>
          <w:rFonts w:hint="eastAsia" w:ascii="仿宋" w:hAnsi="仿宋" w:eastAsia="仿宋" w:cs="仿宋"/>
          <w:b w:val="0"/>
          <w:i w:val="0"/>
          <w:caps w:val="0"/>
          <w:color w:val="000000"/>
          <w:spacing w:val="0"/>
          <w:sz w:val="30"/>
          <w:szCs w:val="30"/>
          <w:shd w:val="clear" w:fill="FFFFFF"/>
          <w:lang w:val="en-US"/>
        </w:rPr>
        <w:t>zhaozs@sac.net.cn</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(三)技术相关问题联系人</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　　何京嗣,电话:</w:t>
      </w:r>
      <w:r>
        <w:rPr>
          <w:rFonts w:hint="eastAsia" w:ascii="仿宋" w:hAnsi="仿宋" w:eastAsia="仿宋" w:cs="仿宋"/>
          <w:b w:val="0"/>
          <w:i w:val="0"/>
          <w:caps w:val="0"/>
          <w:color w:val="000000"/>
          <w:spacing w:val="0"/>
          <w:sz w:val="30"/>
          <w:szCs w:val="30"/>
          <w:shd w:val="clear" w:fill="FFFFFF"/>
          <w:lang w:val="en-US"/>
        </w:rPr>
        <w:t>010-83897917</w:t>
      </w:r>
      <w:r>
        <w:rPr>
          <w:rFonts w:hint="eastAsia" w:ascii="仿宋" w:hAnsi="仿宋" w:eastAsia="仿宋" w:cs="仿宋"/>
          <w:b w:val="0"/>
          <w:i w:val="0"/>
          <w:caps w:val="0"/>
          <w:color w:val="000000"/>
          <w:spacing w:val="0"/>
          <w:sz w:val="30"/>
          <w:szCs w:val="30"/>
          <w:shd w:val="clear" w:fill="FFFFFF"/>
        </w:rPr>
        <w:t>,邮箱:</w:t>
      </w:r>
      <w:r>
        <w:rPr>
          <w:rFonts w:hint="eastAsia" w:ascii="仿宋" w:hAnsi="仿宋" w:eastAsia="仿宋" w:cs="仿宋"/>
          <w:b w:val="0"/>
          <w:i w:val="0"/>
          <w:caps w:val="0"/>
          <w:color w:val="000000"/>
          <w:spacing w:val="0"/>
          <w:sz w:val="30"/>
          <w:szCs w:val="30"/>
          <w:shd w:val="clear" w:fill="FFFFFF"/>
          <w:lang w:val="en-US"/>
        </w:rPr>
        <w:t>hejs@sac.net.cn</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outlineLvl w:val="9"/>
        <w:rPr>
          <w:rFonts w:hint="eastAsia" w:ascii="仿宋" w:hAnsi="仿宋" w:eastAsia="仿宋" w:cs="仿宋"/>
          <w:b w:val="0"/>
          <w:i w:val="0"/>
          <w:caps w:val="0"/>
          <w:color w:val="000000"/>
          <w:spacing w:val="0"/>
          <w:sz w:val="30"/>
          <w:szCs w:val="30"/>
          <w:shd w:val="clear" w:fill="FFFFFF"/>
        </w:rPr>
      </w:pPr>
      <w:r>
        <w:rPr>
          <w:rFonts w:hint="eastAsia" w:ascii="仿宋" w:hAnsi="仿宋" w:eastAsia="仿宋" w:cs="仿宋"/>
          <w:b w:val="0"/>
          <w:i w:val="0"/>
          <w:caps w:val="0"/>
          <w:color w:val="000000"/>
          <w:spacing w:val="0"/>
          <w:sz w:val="30"/>
          <w:szCs w:val="30"/>
          <w:shd w:val="clear" w:fill="FFFFFF"/>
        </w:rPr>
        <w:t>　　</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right="0" w:rightChars="0" w:firstLine="602" w:firstLineChars="200"/>
        <w:jc w:val="both"/>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rPr>
        <w:t>附件:</w:t>
      </w:r>
      <w:r>
        <w:rPr>
          <w:rFonts w:hint="eastAsia" w:ascii="仿宋" w:hAnsi="仿宋" w:eastAsia="仿宋" w:cs="仿宋"/>
          <w:b/>
          <w:bCs/>
          <w:i w:val="0"/>
          <w:caps w:val="0"/>
          <w:color w:val="000000"/>
          <w:spacing w:val="0"/>
          <w:sz w:val="30"/>
          <w:szCs w:val="30"/>
          <w:shd w:val="clear" w:fill="FFFFFF"/>
          <w:lang w:val="en-US" w:eastAsia="zh-CN"/>
        </w:rPr>
        <w:t xml:space="preserve"> </w:t>
      </w:r>
      <w:r>
        <w:rPr>
          <w:rFonts w:hint="eastAsia" w:ascii="仿宋" w:hAnsi="仿宋" w:eastAsia="仿宋" w:cs="仿宋"/>
          <w:b/>
          <w:bCs/>
          <w:i w:val="0"/>
          <w:caps w:val="0"/>
          <w:color w:val="000000"/>
          <w:spacing w:val="0"/>
          <w:sz w:val="30"/>
          <w:szCs w:val="30"/>
          <w:shd w:val="clear" w:fill="FFFFFF"/>
          <w:lang w:val="en-US"/>
        </w:rPr>
        <w:t>1</w:t>
      </w:r>
      <w:r>
        <w:rPr>
          <w:rFonts w:hint="eastAsia" w:ascii="仿宋" w:hAnsi="仿宋" w:eastAsia="仿宋" w:cs="仿宋"/>
          <w:b/>
          <w:bCs/>
          <w:i w:val="0"/>
          <w:caps w:val="0"/>
          <w:color w:val="000000"/>
          <w:spacing w:val="0"/>
          <w:sz w:val="30"/>
          <w:szCs w:val="30"/>
          <w:shd w:val="clear" w:fill="FFFFFF"/>
          <w:lang w:val="en-US" w:eastAsia="zh-CN"/>
        </w:rPr>
        <w:t>、</w:t>
      </w:r>
      <w:r>
        <w:rPr>
          <w:rFonts w:hint="eastAsia" w:ascii="仿宋" w:hAnsi="仿宋" w:eastAsia="仿宋" w:cs="仿宋"/>
          <w:b/>
          <w:bCs/>
          <w:i w:val="0"/>
          <w:caps w:val="0"/>
          <w:color w:val="000000"/>
          <w:spacing w:val="0"/>
          <w:sz w:val="30"/>
          <w:szCs w:val="30"/>
          <w:shd w:val="clear" w:fill="FFFFFF"/>
        </w:rPr>
        <w:t>场外衍生品报告内容与格式模板</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1506" w:firstLineChars="500"/>
        <w:jc w:val="both"/>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lang w:val="en-US"/>
        </w:rPr>
        <w:t>2</w:t>
      </w:r>
      <w:r>
        <w:rPr>
          <w:rFonts w:hint="eastAsia" w:ascii="仿宋" w:hAnsi="仿宋" w:eastAsia="仿宋" w:cs="仿宋"/>
          <w:b/>
          <w:bCs/>
          <w:i w:val="0"/>
          <w:caps w:val="0"/>
          <w:color w:val="000000"/>
          <w:spacing w:val="0"/>
          <w:sz w:val="30"/>
          <w:szCs w:val="30"/>
          <w:shd w:val="clear" w:fill="FFFFFF"/>
          <w:lang w:val="en-US" w:eastAsia="zh-CN"/>
        </w:rPr>
        <w:t>、</w:t>
      </w:r>
      <w:r>
        <w:rPr>
          <w:rFonts w:hint="eastAsia" w:ascii="仿宋" w:hAnsi="仿宋" w:eastAsia="仿宋" w:cs="仿宋"/>
          <w:b/>
          <w:bCs/>
          <w:i w:val="0"/>
          <w:caps w:val="0"/>
          <w:color w:val="000000"/>
          <w:spacing w:val="0"/>
          <w:sz w:val="30"/>
          <w:szCs w:val="30"/>
          <w:shd w:val="clear" w:fill="FFFFFF"/>
        </w:rPr>
        <w:t>非公开发行公司债券备案内容与格式模板</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1506" w:firstLineChars="500"/>
        <w:jc w:val="both"/>
        <w:textAlignment w:val="auto"/>
        <w:outlineLvl w:val="9"/>
        <w:rPr>
          <w:rFonts w:hint="eastAsia" w:ascii="仿宋" w:hAnsi="仿宋" w:eastAsia="仿宋" w:cs="仿宋"/>
          <w:b/>
          <w:bCs/>
          <w:sz w:val="30"/>
          <w:szCs w:val="30"/>
        </w:rPr>
      </w:pPr>
      <w:r>
        <w:rPr>
          <w:rFonts w:hint="eastAsia" w:ascii="仿宋" w:hAnsi="仿宋" w:eastAsia="仿宋" w:cs="仿宋"/>
          <w:b/>
          <w:bCs/>
          <w:i w:val="0"/>
          <w:caps w:val="0"/>
          <w:color w:val="000000"/>
          <w:spacing w:val="0"/>
          <w:sz w:val="30"/>
          <w:szCs w:val="30"/>
          <w:shd w:val="clear" w:fill="FFFFFF"/>
          <w:lang w:val="en-US"/>
        </w:rPr>
        <w:t>3</w:t>
      </w:r>
      <w:r>
        <w:rPr>
          <w:rFonts w:hint="eastAsia" w:ascii="仿宋" w:hAnsi="仿宋" w:eastAsia="仿宋" w:cs="仿宋"/>
          <w:b/>
          <w:bCs/>
          <w:i w:val="0"/>
          <w:caps w:val="0"/>
          <w:color w:val="000000"/>
          <w:spacing w:val="0"/>
          <w:sz w:val="30"/>
          <w:szCs w:val="30"/>
          <w:shd w:val="clear" w:fill="FFFFFF"/>
          <w:lang w:val="en-US" w:eastAsia="zh-CN"/>
        </w:rPr>
        <w:t>、</w:t>
      </w:r>
      <w:r>
        <w:rPr>
          <w:rFonts w:hint="eastAsia" w:ascii="仿宋" w:hAnsi="仿宋" w:eastAsia="仿宋" w:cs="仿宋"/>
          <w:b/>
          <w:bCs/>
          <w:i w:val="0"/>
          <w:caps w:val="0"/>
          <w:color w:val="000000"/>
          <w:spacing w:val="0"/>
          <w:sz w:val="30"/>
          <w:szCs w:val="30"/>
          <w:shd w:val="clear" w:fill="FFFFFF"/>
        </w:rPr>
        <w:t>收益凭证报告内容与格式模板</w:t>
      </w:r>
    </w:p>
    <w:p>
      <w:pPr>
        <w:pStyle w:val="2"/>
        <w:keepNext w:val="0"/>
        <w:keepLines w:val="0"/>
        <w:pageBreakBefore w:val="0"/>
        <w:widowControl w:val="0"/>
        <w:suppressLineNumbers w:val="0"/>
        <w:kinsoku/>
        <w:wordWrap w:val="0"/>
        <w:overflowPunct/>
        <w:topLinePunct w:val="0"/>
        <w:autoSpaceDE/>
        <w:autoSpaceDN/>
        <w:bidi w:val="0"/>
        <w:adjustRightInd/>
        <w:snapToGrid/>
        <w:spacing w:before="0" w:beforeAutospacing="0" w:after="0" w:afterAutospacing="0" w:line="240" w:lineRule="auto"/>
        <w:ind w:left="0" w:leftChars="0" w:right="0" w:rightChars="0" w:firstLine="1506" w:firstLineChars="500"/>
        <w:jc w:val="both"/>
        <w:textAlignment w:val="auto"/>
        <w:outlineLvl w:val="9"/>
        <w:rPr>
          <w:rFonts w:hint="eastAsia" w:ascii="仿宋" w:hAnsi="仿宋" w:eastAsia="仿宋" w:cs="仿宋"/>
          <w:b/>
          <w:bCs/>
          <w:sz w:val="30"/>
          <w:szCs w:val="30"/>
        </w:rPr>
      </w:pPr>
      <w:bookmarkStart w:id="0" w:name="_GoBack"/>
      <w:r>
        <w:rPr>
          <w:rFonts w:hint="eastAsia" w:ascii="仿宋" w:hAnsi="仿宋" w:eastAsia="仿宋" w:cs="仿宋"/>
          <w:b/>
          <w:bCs/>
          <w:i w:val="0"/>
          <w:caps w:val="0"/>
          <w:color w:val="000000"/>
          <w:spacing w:val="0"/>
          <w:sz w:val="30"/>
          <w:szCs w:val="30"/>
          <w:shd w:val="clear" w:fill="FFFFFF"/>
          <w:lang w:val="en-US"/>
        </w:rPr>
        <w:t>5</w:t>
      </w:r>
      <w:r>
        <w:rPr>
          <w:rFonts w:hint="eastAsia" w:ascii="仿宋" w:hAnsi="仿宋" w:eastAsia="仿宋" w:cs="仿宋"/>
          <w:b/>
          <w:bCs/>
          <w:i w:val="0"/>
          <w:caps w:val="0"/>
          <w:color w:val="000000"/>
          <w:spacing w:val="0"/>
          <w:sz w:val="30"/>
          <w:szCs w:val="30"/>
          <w:shd w:val="clear" w:fill="FFFFFF"/>
          <w:lang w:val="en-US" w:eastAsia="zh-CN"/>
        </w:rPr>
        <w:t>、</w:t>
      </w:r>
      <w:r>
        <w:rPr>
          <w:rFonts w:hint="eastAsia" w:ascii="仿宋" w:hAnsi="仿宋" w:eastAsia="仿宋" w:cs="仿宋"/>
          <w:b/>
          <w:bCs/>
          <w:i w:val="0"/>
          <w:caps w:val="0"/>
          <w:color w:val="000000"/>
          <w:spacing w:val="0"/>
          <w:sz w:val="30"/>
          <w:szCs w:val="30"/>
          <w:shd w:val="clear" w:fill="FFFFFF"/>
        </w:rPr>
        <w:t>证券公司登记、托管和结算报告内容与格式模板</w:t>
      </w:r>
    </w:p>
    <w:bookmarkEnd w:id="0"/>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firstLine="0" w:firstLine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0B001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2018-01-04T08:20:26Z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